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7C" w:rsidRDefault="00F3177C" w:rsidP="00F3177C">
      <w:pPr>
        <w:pStyle w:val="TableParagraph"/>
        <w:ind w:left="143" w:right="516"/>
        <w:rPr>
          <w:b/>
          <w:i/>
          <w:sz w:val="24"/>
        </w:rPr>
      </w:pPr>
      <w:r>
        <w:rPr>
          <w:b/>
          <w:sz w:val="24"/>
        </w:rPr>
        <w:t xml:space="preserve">3.2.1. </w:t>
      </w:r>
      <w:r>
        <w:rPr>
          <w:b/>
          <w:i/>
          <w:sz w:val="24"/>
        </w:rPr>
        <w:t>Institution has created an ecosystem for innovations including</w:t>
      </w:r>
      <w:r>
        <w:rPr>
          <w:b/>
          <w:i/>
          <w:spacing w:val="1"/>
          <w:sz w:val="24"/>
        </w:rPr>
        <w:t xml:space="preserve"> </w:t>
      </w:r>
      <w:r>
        <w:rPr>
          <w:b/>
          <w:i/>
          <w:sz w:val="24"/>
        </w:rPr>
        <w:t>Incubation</w:t>
      </w:r>
      <w:r>
        <w:rPr>
          <w:b/>
          <w:i/>
          <w:spacing w:val="-2"/>
          <w:sz w:val="24"/>
        </w:rPr>
        <w:t xml:space="preserve"> </w:t>
      </w:r>
      <w:proofErr w:type="spellStart"/>
      <w:r>
        <w:rPr>
          <w:b/>
          <w:i/>
          <w:sz w:val="24"/>
        </w:rPr>
        <w:t>centre</w:t>
      </w:r>
      <w:proofErr w:type="spellEnd"/>
      <w:r>
        <w:rPr>
          <w:b/>
          <w:i/>
          <w:spacing w:val="-2"/>
          <w:sz w:val="24"/>
        </w:rPr>
        <w:t xml:space="preserve"> </w:t>
      </w:r>
      <w:r>
        <w:rPr>
          <w:b/>
          <w:i/>
          <w:sz w:val="24"/>
        </w:rPr>
        <w:t>and</w:t>
      </w:r>
      <w:r>
        <w:rPr>
          <w:b/>
          <w:i/>
          <w:spacing w:val="-1"/>
          <w:sz w:val="24"/>
        </w:rPr>
        <w:t xml:space="preserve"> </w:t>
      </w:r>
      <w:r>
        <w:rPr>
          <w:b/>
          <w:i/>
          <w:sz w:val="24"/>
        </w:rPr>
        <w:t>other</w:t>
      </w:r>
      <w:r>
        <w:rPr>
          <w:b/>
          <w:i/>
          <w:spacing w:val="-3"/>
          <w:sz w:val="24"/>
        </w:rPr>
        <w:t xml:space="preserve"> </w:t>
      </w:r>
      <w:r>
        <w:rPr>
          <w:b/>
          <w:i/>
          <w:sz w:val="24"/>
        </w:rPr>
        <w:t>initiatives</w:t>
      </w:r>
      <w:r>
        <w:rPr>
          <w:b/>
          <w:i/>
          <w:spacing w:val="-4"/>
          <w:sz w:val="24"/>
        </w:rPr>
        <w:t xml:space="preserve"> </w:t>
      </w:r>
      <w:r>
        <w:rPr>
          <w:b/>
          <w:i/>
          <w:sz w:val="24"/>
        </w:rPr>
        <w:t>for</w:t>
      </w:r>
      <w:r>
        <w:rPr>
          <w:b/>
          <w:i/>
          <w:spacing w:val="-3"/>
          <w:sz w:val="24"/>
        </w:rPr>
        <w:t xml:space="preserve"> </w:t>
      </w:r>
      <w:r>
        <w:rPr>
          <w:b/>
          <w:i/>
          <w:sz w:val="24"/>
        </w:rPr>
        <w:t>creation</w:t>
      </w:r>
      <w:r>
        <w:rPr>
          <w:b/>
          <w:i/>
          <w:spacing w:val="-1"/>
          <w:sz w:val="24"/>
        </w:rPr>
        <w:t xml:space="preserve"> </w:t>
      </w:r>
      <w:r>
        <w:rPr>
          <w:b/>
          <w:i/>
          <w:sz w:val="24"/>
        </w:rPr>
        <w:t>and</w:t>
      </w:r>
      <w:r>
        <w:rPr>
          <w:b/>
          <w:i/>
          <w:spacing w:val="-6"/>
          <w:sz w:val="24"/>
        </w:rPr>
        <w:t xml:space="preserve"> </w:t>
      </w:r>
      <w:r>
        <w:rPr>
          <w:b/>
          <w:i/>
          <w:sz w:val="24"/>
        </w:rPr>
        <w:t>transfer</w:t>
      </w:r>
      <w:r>
        <w:rPr>
          <w:b/>
          <w:i/>
          <w:spacing w:val="-3"/>
          <w:sz w:val="24"/>
        </w:rPr>
        <w:t xml:space="preserve"> </w:t>
      </w:r>
      <w:r>
        <w:rPr>
          <w:b/>
          <w:i/>
          <w:sz w:val="24"/>
        </w:rPr>
        <w:t>of</w:t>
      </w:r>
      <w:r>
        <w:rPr>
          <w:b/>
          <w:i/>
          <w:spacing w:val="-57"/>
          <w:sz w:val="24"/>
        </w:rPr>
        <w:t xml:space="preserve"> </w:t>
      </w:r>
      <w:r>
        <w:rPr>
          <w:b/>
          <w:i/>
          <w:sz w:val="24"/>
        </w:rPr>
        <w:t xml:space="preserve">knowledge- </w:t>
      </w:r>
    </w:p>
    <w:p w:rsidR="00F3177C" w:rsidRDefault="00F3177C" w:rsidP="00F3177C">
      <w:pPr>
        <w:pStyle w:val="TableParagraph"/>
        <w:ind w:left="143" w:right="516"/>
        <w:rPr>
          <w:b/>
          <w:bCs/>
          <w:sz w:val="24"/>
        </w:rPr>
      </w:pPr>
    </w:p>
    <w:p w:rsidR="00F3177C" w:rsidRPr="00DC10CA" w:rsidRDefault="00F3177C" w:rsidP="00F3177C">
      <w:pPr>
        <w:pStyle w:val="TableParagraph"/>
        <w:ind w:left="143" w:right="516"/>
        <w:jc w:val="both"/>
        <w:rPr>
          <w:bCs/>
          <w:sz w:val="24"/>
          <w:lang w:val="en-IN"/>
        </w:rPr>
      </w:pPr>
      <w:r w:rsidRPr="00DC10CA">
        <w:rPr>
          <w:bCs/>
          <w:sz w:val="24"/>
          <w:lang w:val="en-IN"/>
        </w:rPr>
        <w:t>Bhilai Mahila Mahavidyalaya is deeply committed to fostering a vibrant and research-oriented culture on its campus, recognizing the transformative power of scholarly inquiry in advancing knowledge and enriching academic experiences. With this ethos at its core, the college places significant emphasis on recruiting faculty members with PhD qualifications, while also actively encouraging those without PhDs to embark on research journeys.</w:t>
      </w:r>
    </w:p>
    <w:p w:rsidR="00F3177C" w:rsidRPr="00DC10CA" w:rsidRDefault="00F3177C" w:rsidP="00F3177C">
      <w:pPr>
        <w:pStyle w:val="TableParagraph"/>
        <w:ind w:left="143" w:right="516"/>
        <w:jc w:val="both"/>
        <w:rPr>
          <w:bCs/>
          <w:sz w:val="24"/>
          <w:lang w:val="en-IN"/>
        </w:rPr>
      </w:pPr>
    </w:p>
    <w:p w:rsidR="00F3177C" w:rsidRPr="00DC10CA" w:rsidRDefault="00F3177C" w:rsidP="00F3177C">
      <w:pPr>
        <w:pStyle w:val="TableParagraph"/>
        <w:ind w:left="143" w:right="516"/>
        <w:jc w:val="both"/>
        <w:rPr>
          <w:bCs/>
          <w:sz w:val="24"/>
          <w:lang w:val="en-IN"/>
        </w:rPr>
      </w:pPr>
      <w:r w:rsidRPr="00DC10CA">
        <w:rPr>
          <w:bCs/>
          <w:sz w:val="24"/>
          <w:lang w:val="en-IN"/>
        </w:rPr>
        <w:t xml:space="preserve">Distinguished as a research </w:t>
      </w:r>
      <w:proofErr w:type="spellStart"/>
      <w:r w:rsidRPr="00DC10CA">
        <w:rPr>
          <w:bCs/>
          <w:sz w:val="24"/>
          <w:lang w:val="en-IN"/>
        </w:rPr>
        <w:t>center</w:t>
      </w:r>
      <w:proofErr w:type="spellEnd"/>
      <w:r w:rsidRPr="00DC10CA">
        <w:rPr>
          <w:bCs/>
          <w:sz w:val="24"/>
          <w:lang w:val="en-IN"/>
        </w:rPr>
        <w:t xml:space="preserve"> in two subjects, the college boasts a distinguished cohort of 18 research guides who provide invaluable mentorship to aspiring scholars. In the current academic session (2022-23), the establishment of three research </w:t>
      </w:r>
      <w:proofErr w:type="spellStart"/>
      <w:r w:rsidRPr="00DC10CA">
        <w:rPr>
          <w:bCs/>
          <w:sz w:val="24"/>
          <w:lang w:val="en-IN"/>
        </w:rPr>
        <w:t>centers</w:t>
      </w:r>
      <w:proofErr w:type="spellEnd"/>
      <w:r w:rsidRPr="00DC10CA">
        <w:rPr>
          <w:bCs/>
          <w:sz w:val="24"/>
          <w:lang w:val="en-IN"/>
        </w:rPr>
        <w:t xml:space="preserve"> in Home Science, Chemistry, and Commerce underscores the institution's commitment to expanding its research footprint. Under the guidance of these </w:t>
      </w:r>
      <w:proofErr w:type="spellStart"/>
      <w:r w:rsidRPr="00DC10CA">
        <w:rPr>
          <w:bCs/>
          <w:sz w:val="24"/>
          <w:lang w:val="en-IN"/>
        </w:rPr>
        <w:t>centers</w:t>
      </w:r>
      <w:proofErr w:type="spellEnd"/>
      <w:r w:rsidRPr="00DC10CA">
        <w:rPr>
          <w:bCs/>
          <w:sz w:val="24"/>
          <w:lang w:val="en-IN"/>
        </w:rPr>
        <w:t>, three research scholars are diligently pursuing their academic pursuits, supported by expert mentorship.</w:t>
      </w:r>
    </w:p>
    <w:p w:rsidR="00F3177C" w:rsidRPr="00DC10CA" w:rsidRDefault="00F3177C" w:rsidP="00F3177C">
      <w:pPr>
        <w:pStyle w:val="TableParagraph"/>
        <w:ind w:left="143" w:right="516"/>
        <w:jc w:val="both"/>
        <w:rPr>
          <w:bCs/>
          <w:sz w:val="24"/>
          <w:lang w:val="en-IN"/>
        </w:rPr>
      </w:pPr>
    </w:p>
    <w:p w:rsidR="00F3177C" w:rsidRPr="00DC10CA" w:rsidRDefault="00F3177C" w:rsidP="00F3177C">
      <w:pPr>
        <w:pStyle w:val="TableParagraph"/>
        <w:ind w:left="143" w:right="516"/>
        <w:jc w:val="both"/>
        <w:rPr>
          <w:bCs/>
          <w:sz w:val="24"/>
          <w:lang w:val="en-IN"/>
        </w:rPr>
      </w:pPr>
      <w:r w:rsidRPr="00DC10CA">
        <w:rPr>
          <w:bCs/>
          <w:sz w:val="24"/>
          <w:lang w:val="en-IN"/>
        </w:rPr>
        <w:t>To facilitate research excellence, the college spares no effort in providing robust infrastructure and resources. The central library, equipped with INFLIBNET and</w:t>
      </w:r>
      <w:r>
        <w:rPr>
          <w:bCs/>
          <w:sz w:val="24"/>
          <w:lang w:val="en-IN"/>
        </w:rPr>
        <w:t xml:space="preserve">      </w:t>
      </w:r>
      <w:r w:rsidRPr="00DC10CA">
        <w:rPr>
          <w:bCs/>
          <w:sz w:val="24"/>
          <w:lang w:val="en-IN"/>
        </w:rPr>
        <w:t xml:space="preserve"> e-journals, serves as a pivotal information hub for researchers. Moreover, a dedicated space within the library caters specifically to the needs of research scholars, ensuring seamless access to essential literature and resources.</w:t>
      </w:r>
    </w:p>
    <w:p w:rsidR="00F3177C" w:rsidRPr="00DC10CA" w:rsidRDefault="00F3177C" w:rsidP="00F3177C">
      <w:pPr>
        <w:pStyle w:val="TableParagraph"/>
        <w:ind w:left="143" w:right="516"/>
        <w:jc w:val="both"/>
        <w:rPr>
          <w:bCs/>
          <w:sz w:val="24"/>
          <w:lang w:val="en-IN"/>
        </w:rPr>
      </w:pPr>
    </w:p>
    <w:p w:rsidR="00F3177C" w:rsidRPr="00DC10CA" w:rsidRDefault="00F3177C" w:rsidP="00F3177C">
      <w:pPr>
        <w:pStyle w:val="TableParagraph"/>
        <w:ind w:left="143" w:right="516"/>
        <w:jc w:val="both"/>
        <w:rPr>
          <w:bCs/>
          <w:sz w:val="24"/>
          <w:lang w:val="en-IN"/>
        </w:rPr>
      </w:pPr>
      <w:r w:rsidRPr="00DC10CA">
        <w:rPr>
          <w:bCs/>
          <w:sz w:val="24"/>
          <w:lang w:val="en-IN"/>
        </w:rPr>
        <w:t>Faculty members actively engage in scholarly discourse through participation in seminars and workshops, where they share their insights and research findings with peers and the wider academic community. The institution's Research Advisory Committee plays a pivotal role in coordinating research activities, diligently monitoring notifications from various funding agencies to ensure faculty members are apprised of potential research project opportunities.</w:t>
      </w:r>
    </w:p>
    <w:p w:rsidR="00F3177C" w:rsidRPr="00DC10CA" w:rsidRDefault="00F3177C" w:rsidP="00F3177C">
      <w:pPr>
        <w:pStyle w:val="TableParagraph"/>
        <w:ind w:left="143" w:right="516"/>
        <w:jc w:val="both"/>
        <w:rPr>
          <w:bCs/>
          <w:sz w:val="24"/>
          <w:lang w:val="en-IN"/>
        </w:rPr>
      </w:pPr>
    </w:p>
    <w:p w:rsidR="00F3177C" w:rsidRPr="00DC10CA" w:rsidRDefault="00F3177C" w:rsidP="00F3177C">
      <w:pPr>
        <w:pStyle w:val="TableParagraph"/>
        <w:ind w:left="143" w:right="516"/>
        <w:jc w:val="both"/>
        <w:rPr>
          <w:bCs/>
          <w:sz w:val="24"/>
          <w:lang w:val="en-IN"/>
        </w:rPr>
      </w:pPr>
      <w:r w:rsidRPr="00DC10CA">
        <w:rPr>
          <w:bCs/>
          <w:sz w:val="24"/>
          <w:lang w:val="en-IN"/>
        </w:rPr>
        <w:t xml:space="preserve">The college's receipt of the DST CURIE project, amounting to </w:t>
      </w:r>
      <w:proofErr w:type="spellStart"/>
      <w:r w:rsidRPr="00DC10CA">
        <w:rPr>
          <w:bCs/>
          <w:sz w:val="24"/>
          <w:lang w:val="en-IN"/>
        </w:rPr>
        <w:t>Rs</w:t>
      </w:r>
      <w:proofErr w:type="spellEnd"/>
      <w:r w:rsidRPr="00DC10CA">
        <w:rPr>
          <w:bCs/>
          <w:sz w:val="24"/>
          <w:lang w:val="en-IN"/>
        </w:rPr>
        <w:t xml:space="preserve"> 55,38,174/-, stands as a testament to its dedication to innovation and academic excellence. This project has facilitated the establishment of a state-of-the-art smart classroom and central lab, enhancing teaching and research capabilities on campus. Additionally, the provision of free NET coaching for 141 postgraduate students underscores the institution's commitment to nurturing talent and expanding academic horizons.</w:t>
      </w:r>
    </w:p>
    <w:p w:rsidR="00F3177C" w:rsidRDefault="00F3177C" w:rsidP="00F3177C">
      <w:pPr>
        <w:pStyle w:val="TableParagraph"/>
        <w:ind w:left="143" w:right="516"/>
        <w:jc w:val="both"/>
        <w:rPr>
          <w:bCs/>
          <w:sz w:val="24"/>
          <w:lang w:val="en-IN"/>
        </w:rPr>
      </w:pPr>
    </w:p>
    <w:p w:rsidR="00F3177C" w:rsidRDefault="00F3177C" w:rsidP="00F3177C">
      <w:pPr>
        <w:pStyle w:val="TableParagraph"/>
        <w:ind w:left="143" w:right="516"/>
        <w:jc w:val="both"/>
        <w:rPr>
          <w:bCs/>
          <w:sz w:val="24"/>
          <w:lang w:val="en-IN"/>
        </w:rPr>
      </w:pPr>
    </w:p>
    <w:p w:rsidR="00F3177C" w:rsidRDefault="00F3177C" w:rsidP="00F3177C">
      <w:pPr>
        <w:pStyle w:val="TableParagraph"/>
        <w:ind w:left="143" w:right="516"/>
        <w:jc w:val="both"/>
        <w:rPr>
          <w:bCs/>
          <w:sz w:val="24"/>
          <w:lang w:val="en-IN"/>
        </w:rPr>
      </w:pPr>
    </w:p>
    <w:p w:rsidR="00F3177C" w:rsidRDefault="00F3177C" w:rsidP="00F3177C">
      <w:pPr>
        <w:pStyle w:val="TableParagraph"/>
        <w:ind w:left="143" w:right="516"/>
        <w:jc w:val="both"/>
        <w:rPr>
          <w:bCs/>
          <w:sz w:val="24"/>
          <w:lang w:val="en-IN"/>
        </w:rPr>
      </w:pPr>
    </w:p>
    <w:p w:rsidR="00F3177C" w:rsidRPr="00DC10CA" w:rsidRDefault="00F3177C" w:rsidP="00F3177C">
      <w:pPr>
        <w:pStyle w:val="TableParagraph"/>
        <w:ind w:left="143" w:right="516"/>
        <w:jc w:val="both"/>
        <w:rPr>
          <w:bCs/>
          <w:sz w:val="24"/>
          <w:lang w:val="en-IN"/>
        </w:rPr>
      </w:pPr>
    </w:p>
    <w:p w:rsidR="00F3177C" w:rsidRPr="00DC10CA" w:rsidRDefault="00F3177C" w:rsidP="00F3177C">
      <w:pPr>
        <w:pStyle w:val="TableParagraph"/>
        <w:ind w:left="143" w:right="516"/>
        <w:jc w:val="both"/>
        <w:rPr>
          <w:bCs/>
          <w:sz w:val="24"/>
          <w:lang w:val="en-IN"/>
        </w:rPr>
      </w:pPr>
      <w:r w:rsidRPr="00DC10CA">
        <w:rPr>
          <w:bCs/>
          <w:sz w:val="24"/>
          <w:lang w:val="en-IN"/>
        </w:rPr>
        <w:t>In alignment with its unwavering commitment to academic excellence, the college warmly embraces students from other institutions, inviting them to undertake dissertation and project work to foster collaboration and knowledge exchange. Furthermore, meticulously designed workshops impart practical skills, techniques, and innovative ideas to students, enriching their academic journey and preparing them for future pursuits in research and academia.</w:t>
      </w:r>
    </w:p>
    <w:p w:rsidR="00076F8E" w:rsidRDefault="00076F8E">
      <w:bookmarkStart w:id="0" w:name="_GoBack"/>
      <w:bookmarkEnd w:id="0"/>
    </w:p>
    <w:sectPr w:rsidR="00076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7C"/>
    <w:rsid w:val="00076F8E"/>
    <w:rsid w:val="00F317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3E79B-0974-4AFD-BDF9-CAFE74DD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3177C"/>
    <w:pPr>
      <w:widowControl w:val="0"/>
      <w:autoSpaceDE w:val="0"/>
      <w:autoSpaceDN w:val="0"/>
      <w:spacing w:after="0" w:line="240" w:lineRule="auto"/>
    </w:pPr>
    <w:rPr>
      <w:rFonts w:ascii="Times New Roman" w:eastAsia="Times New Roman" w:hAnsi="Times New Roman"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2024-04-26T08:46:00Z</dcterms:created>
  <dcterms:modified xsi:type="dcterms:W3CDTF">2024-04-26T08:46:00Z</dcterms:modified>
</cp:coreProperties>
</file>